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6" w:space="0" w:color="E4E4E4"/>
        </w:tblBorders>
        <w:shd w:val="clear" w:color="auto" w:fill="FFFFFF"/>
        <w:tblCellMar>
          <w:left w:w="0" w:type="dxa"/>
          <w:right w:w="0" w:type="dxa"/>
        </w:tblCellMar>
        <w:tblLook w:val="04A0" w:firstRow="1" w:lastRow="0" w:firstColumn="1" w:lastColumn="0" w:noHBand="0" w:noVBand="1"/>
      </w:tblPr>
      <w:tblGrid>
        <w:gridCol w:w="9360"/>
      </w:tblGrid>
      <w:tr w:rsidR="00B37DED" w14:paraId="7E78408D" w14:textId="77777777" w:rsidTr="00B37DED">
        <w:trPr>
          <w:jc w:val="center"/>
        </w:trPr>
        <w:tc>
          <w:tcPr>
            <w:tcW w:w="0" w:type="auto"/>
            <w:tcBorders>
              <w:top w:val="single" w:sz="6" w:space="0" w:color="E4E4E4"/>
              <w:left w:val="nil"/>
              <w:bottom w:val="nil"/>
              <w:right w:val="nil"/>
            </w:tcBorders>
            <w:shd w:val="clear" w:color="auto" w:fill="FFFFFF"/>
            <w:vAlign w:val="center"/>
            <w:hideMark/>
          </w:tcPr>
          <w:p w14:paraId="4474F734" w14:textId="77777777" w:rsidR="00B57C3D" w:rsidRDefault="00B57C3D"/>
          <w:tbl>
            <w:tblPr>
              <w:tblW w:w="5000" w:type="pct"/>
              <w:tblCellMar>
                <w:left w:w="0" w:type="dxa"/>
                <w:right w:w="0" w:type="dxa"/>
              </w:tblCellMar>
              <w:tblLook w:val="04A0" w:firstRow="1" w:lastRow="0" w:firstColumn="1" w:lastColumn="0" w:noHBand="0" w:noVBand="1"/>
            </w:tblPr>
            <w:tblGrid>
              <w:gridCol w:w="9360"/>
            </w:tblGrid>
            <w:tr w:rsidR="00B37DED" w14:paraId="6C5A0E1C" w14:textId="77777777">
              <w:tc>
                <w:tcPr>
                  <w:tcW w:w="0" w:type="auto"/>
                  <w:tcMar>
                    <w:top w:w="375" w:type="dxa"/>
                    <w:left w:w="750" w:type="dxa"/>
                    <w:bottom w:w="375" w:type="dxa"/>
                    <w:right w:w="750" w:type="dxa"/>
                  </w:tcMar>
                  <w:vAlign w:val="center"/>
                  <w:hideMark/>
                </w:tcPr>
                <w:p w14:paraId="2193F6EF" w14:textId="4DA42D42" w:rsidR="00B57C3D" w:rsidRPr="00B57C3D" w:rsidRDefault="00B57C3D" w:rsidP="00B57C3D">
                  <w:pPr>
                    <w:jc w:val="center"/>
                    <w:rPr>
                      <w:rFonts w:ascii="Times New Roman" w:hAnsi="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C3D">
                    <w:rPr>
                      <w:rFonts w:ascii="Times New Roman" w:hAnsi="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NOTICE TO ALL OUR VALUED CLOSING PARTNERS</w:t>
                  </w:r>
                </w:p>
                <w:p w14:paraId="3F4D8D53" w14:textId="77777777" w:rsidR="00B57C3D" w:rsidRPr="00B57C3D" w:rsidRDefault="00B57C3D" w:rsidP="00B57C3D">
                  <w:pPr>
                    <w:jc w:val="center"/>
                    <w:rPr>
                      <w:rFonts w:ascii="Times New Roman" w:hAnsi="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9AA8CF" w14:textId="100A8832" w:rsidR="00B57C3D" w:rsidRPr="00B57C3D" w:rsidRDefault="00B57C3D" w:rsidP="00B57C3D">
                  <w:pPr>
                    <w:jc w:val="center"/>
                    <w:rPr>
                      <w:rFonts w:ascii="Times New Roman" w:hAnsi="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7C3D">
                    <w:rPr>
                      <w:rFonts w:ascii="Times New Roman" w:hAnsi="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REVISIONS TO THE NEW JERSEY REAL ESTATE TRANSFER TAX AND “MANSION TAX”</w:t>
                  </w:r>
                </w:p>
                <w:p w14:paraId="5AB3ED46" w14:textId="77777777" w:rsidR="00B57C3D" w:rsidRPr="00B57C3D" w:rsidRDefault="00B57C3D" w:rsidP="00B57C3D">
                  <w:pPr>
                    <w:jc w:val="center"/>
                    <w:rPr>
                      <w:b/>
                      <w:bCs/>
                    </w:rPr>
                  </w:pPr>
                </w:p>
                <w:tbl>
                  <w:tblPr>
                    <w:tblW w:w="5000" w:type="pct"/>
                    <w:jc w:val="center"/>
                    <w:tblCellMar>
                      <w:left w:w="0" w:type="dxa"/>
                      <w:right w:w="0" w:type="dxa"/>
                    </w:tblCellMar>
                    <w:tblLook w:val="04A0" w:firstRow="1" w:lastRow="0" w:firstColumn="1" w:lastColumn="0" w:noHBand="0" w:noVBand="1"/>
                  </w:tblPr>
                  <w:tblGrid>
                    <w:gridCol w:w="7860"/>
                  </w:tblGrid>
                  <w:tr w:rsidR="00B37DED" w14:paraId="707EE62A" w14:textId="77777777">
                    <w:trPr>
                      <w:jc w:val="center"/>
                    </w:trPr>
                    <w:tc>
                      <w:tcPr>
                        <w:tcW w:w="0" w:type="auto"/>
                        <w:vAlign w:val="center"/>
                        <w:hideMark/>
                      </w:tcPr>
                      <w:p w14:paraId="1EB52088" w14:textId="77777777" w:rsidR="00F43CB0" w:rsidRDefault="00F43CB0">
                        <w:pPr>
                          <w:pStyle w:val="NormalWeb"/>
                          <w:spacing w:before="0" w:beforeAutospacing="0" w:after="0" w:afterAutospacing="0" w:line="300" w:lineRule="exact"/>
                          <w:rPr>
                            <w:b/>
                            <w:bCs/>
                            <w:color w:val="111111"/>
                            <w:sz w:val="21"/>
                            <w:szCs w:val="21"/>
                          </w:rPr>
                        </w:pPr>
                      </w:p>
                      <w:p w14:paraId="71581604" w14:textId="448548EB" w:rsidR="00B05BC8" w:rsidRPr="00BB2F02" w:rsidRDefault="00F43CB0">
                        <w:pPr>
                          <w:pStyle w:val="NormalWeb"/>
                          <w:spacing w:before="0" w:beforeAutospacing="0" w:after="0" w:afterAutospacing="0" w:line="300" w:lineRule="exact"/>
                          <w:rPr>
                            <w:b/>
                            <w:bCs/>
                            <w:color w:val="111111"/>
                            <w:sz w:val="21"/>
                            <w:szCs w:val="21"/>
                          </w:rPr>
                        </w:pPr>
                        <w:r w:rsidRPr="00F43CB0">
                          <w:rPr>
                            <w:b/>
                            <w:bCs/>
                            <w:color w:val="111111"/>
                            <w:sz w:val="21"/>
                            <w:szCs w:val="21"/>
                          </w:rPr>
                          <w:t>NEW FEES WILL BE COLLECTED ON FILES IN EXCESS OF $2 MILLION EVEN IF CLOSING BEFORE JULY 10</w:t>
                        </w:r>
                        <w:r w:rsidRPr="00F43CB0">
                          <w:rPr>
                            <w:b/>
                            <w:bCs/>
                            <w:color w:val="111111"/>
                            <w:sz w:val="21"/>
                            <w:szCs w:val="21"/>
                            <w:vertAlign w:val="superscript"/>
                          </w:rPr>
                          <w:t>TH</w:t>
                        </w:r>
                        <w:r>
                          <w:rPr>
                            <w:b/>
                            <w:bCs/>
                            <w:color w:val="111111"/>
                            <w:sz w:val="21"/>
                            <w:szCs w:val="21"/>
                            <w:vertAlign w:val="superscript"/>
                          </w:rPr>
                          <w:t xml:space="preserve">, </w:t>
                        </w:r>
                        <w:r w:rsidRPr="00F43CB0">
                          <w:rPr>
                            <w:b/>
                            <w:bCs/>
                            <w:color w:val="111111"/>
                            <w:sz w:val="21"/>
                            <w:szCs w:val="21"/>
                          </w:rPr>
                          <w:t xml:space="preserve">2025. </w:t>
                        </w:r>
                        <w:r>
                          <w:rPr>
                            <w:b/>
                            <w:bCs/>
                            <w:color w:val="111111"/>
                            <w:sz w:val="21"/>
                            <w:szCs w:val="21"/>
                          </w:rPr>
                          <w:t xml:space="preserve">  FOR CLOSINGS ON OR AFTER JULY 10</w:t>
                        </w:r>
                        <w:r w:rsidRPr="00F43CB0">
                          <w:rPr>
                            <w:b/>
                            <w:bCs/>
                            <w:color w:val="111111"/>
                            <w:sz w:val="21"/>
                            <w:szCs w:val="21"/>
                            <w:vertAlign w:val="superscript"/>
                          </w:rPr>
                          <w:t>TH</w:t>
                        </w:r>
                        <w:r>
                          <w:rPr>
                            <w:b/>
                            <w:bCs/>
                            <w:color w:val="111111"/>
                            <w:sz w:val="21"/>
                            <w:szCs w:val="21"/>
                          </w:rPr>
                          <w:t>, WITH CONTRACTS FINALIZED BEFORE JULY 10</w:t>
                        </w:r>
                        <w:r w:rsidRPr="00F43CB0">
                          <w:rPr>
                            <w:b/>
                            <w:bCs/>
                            <w:color w:val="111111"/>
                            <w:sz w:val="21"/>
                            <w:szCs w:val="21"/>
                            <w:vertAlign w:val="superscript"/>
                          </w:rPr>
                          <w:t>TH</w:t>
                        </w:r>
                        <w:r>
                          <w:rPr>
                            <w:b/>
                            <w:bCs/>
                            <w:color w:val="111111"/>
                            <w:sz w:val="21"/>
                            <w:szCs w:val="21"/>
                            <w:vertAlign w:val="superscript"/>
                          </w:rPr>
                          <w:t>,</w:t>
                        </w:r>
                        <w:r>
                          <w:rPr>
                            <w:b/>
                            <w:bCs/>
                            <w:color w:val="111111"/>
                            <w:sz w:val="21"/>
                            <w:szCs w:val="21"/>
                          </w:rPr>
                          <w:t xml:space="preserve"> WE WILL BE ASKING FOR CONFIRMATION AS TO WHO WILL BE PAYING </w:t>
                        </w:r>
                        <w:proofErr w:type="gramStart"/>
                        <w:r>
                          <w:rPr>
                            <w:b/>
                            <w:bCs/>
                            <w:color w:val="111111"/>
                            <w:sz w:val="21"/>
                            <w:szCs w:val="21"/>
                          </w:rPr>
                          <w:t>ALL TRANSFER</w:t>
                        </w:r>
                        <w:proofErr w:type="gramEnd"/>
                        <w:r>
                          <w:rPr>
                            <w:b/>
                            <w:bCs/>
                            <w:color w:val="111111"/>
                            <w:sz w:val="21"/>
                            <w:szCs w:val="21"/>
                          </w:rPr>
                          <w:t xml:space="preserve"> TAXES. </w:t>
                        </w:r>
                        <w:r w:rsidR="00B37DED">
                          <w:rPr>
                            <w:color w:val="111111"/>
                            <w:sz w:val="21"/>
                            <w:szCs w:val="21"/>
                          </w:rPr>
                          <w:br/>
                        </w:r>
                        <w:r w:rsidR="00B37DED">
                          <w:rPr>
                            <w:color w:val="111111"/>
                            <w:sz w:val="21"/>
                            <w:szCs w:val="21"/>
                          </w:rPr>
                          <w:br/>
                        </w:r>
                        <w:r w:rsidR="00B05BC8" w:rsidRPr="00BB2F02">
                          <w:rPr>
                            <w:b/>
                            <w:bCs/>
                            <w:color w:val="111111"/>
                            <w:sz w:val="21"/>
                            <w:szCs w:val="21"/>
                          </w:rPr>
                          <w:t>Background</w:t>
                        </w:r>
                      </w:p>
                      <w:p w14:paraId="62650EAC" w14:textId="77777777" w:rsidR="00B05BC8" w:rsidRDefault="00B05BC8">
                        <w:pPr>
                          <w:pStyle w:val="NormalWeb"/>
                          <w:spacing w:before="0" w:beforeAutospacing="0" w:after="0" w:afterAutospacing="0" w:line="300" w:lineRule="exact"/>
                          <w:rPr>
                            <w:color w:val="111111"/>
                            <w:sz w:val="21"/>
                            <w:szCs w:val="21"/>
                          </w:rPr>
                        </w:pPr>
                      </w:p>
                      <w:p w14:paraId="1E532093" w14:textId="2223CEBC" w:rsidR="00B05BC8" w:rsidRPr="00BB2F02" w:rsidRDefault="00B05BC8">
                        <w:pPr>
                          <w:pStyle w:val="NormalWeb"/>
                          <w:spacing w:before="0" w:beforeAutospacing="0" w:after="0" w:afterAutospacing="0" w:line="300" w:lineRule="exact"/>
                          <w:rPr>
                            <w:b/>
                            <w:bCs/>
                            <w:color w:val="111111"/>
                            <w:sz w:val="21"/>
                            <w:szCs w:val="21"/>
                          </w:rPr>
                        </w:pPr>
                        <w:r>
                          <w:rPr>
                            <w:color w:val="111111"/>
                            <w:sz w:val="21"/>
                            <w:szCs w:val="21"/>
                          </w:rPr>
                          <w:t xml:space="preserve">On </w:t>
                        </w:r>
                        <w:r w:rsidR="00B37DED">
                          <w:rPr>
                            <w:color w:val="111111"/>
                            <w:sz w:val="21"/>
                            <w:szCs w:val="21"/>
                          </w:rPr>
                          <w:t>June 30, 2025, Governor Murphy signed bill S4666 / A5804 into law</w:t>
                        </w:r>
                        <w:r>
                          <w:rPr>
                            <w:color w:val="111111"/>
                            <w:sz w:val="21"/>
                            <w:szCs w:val="21"/>
                          </w:rPr>
                          <w:t>.  The new law eliminates Buyer responsibility for paying a “Mansion Tax” (N.J.S.A. 46:15-7.</w:t>
                        </w:r>
                        <w:proofErr w:type="gramStart"/>
                        <w:r>
                          <w:rPr>
                            <w:color w:val="111111"/>
                            <w:sz w:val="21"/>
                            <w:szCs w:val="21"/>
                          </w:rPr>
                          <w:t>2 )</w:t>
                        </w:r>
                        <w:proofErr w:type="gramEnd"/>
                        <w:r>
                          <w:rPr>
                            <w:color w:val="111111"/>
                            <w:sz w:val="21"/>
                            <w:szCs w:val="21"/>
                          </w:rPr>
                          <w:t xml:space="preserve"> and imposes new fees upon t</w:t>
                        </w:r>
                        <w:r w:rsidR="00B37DED">
                          <w:rPr>
                            <w:color w:val="111111"/>
                            <w:sz w:val="21"/>
                            <w:szCs w:val="21"/>
                          </w:rPr>
                          <w:t xml:space="preserve">he seller as substantially increasing the rates on transfers for more than $2,000,000.00. These changes are effective </w:t>
                        </w:r>
                        <w:r w:rsidR="00B37DED">
                          <w:rPr>
                            <w:b/>
                            <w:bCs/>
                            <w:color w:val="111111"/>
                            <w:sz w:val="21"/>
                            <w:szCs w:val="21"/>
                          </w:rPr>
                          <w:t>July 10, 2025.</w:t>
                        </w:r>
                        <w:r w:rsidR="00B37DED">
                          <w:rPr>
                            <w:color w:val="111111"/>
                            <w:sz w:val="21"/>
                            <w:szCs w:val="21"/>
                          </w:rPr>
                          <w:br/>
                        </w:r>
                        <w:r>
                          <w:rPr>
                            <w:color w:val="111111"/>
                            <w:sz w:val="21"/>
                            <w:szCs w:val="21"/>
                          </w:rPr>
                          <w:t xml:space="preserve">This </w:t>
                        </w:r>
                        <w:r w:rsidRPr="00B05BC8">
                          <w:rPr>
                            <w:color w:val="111111"/>
                            <w:sz w:val="21"/>
                            <w:szCs w:val="21"/>
                          </w:rPr>
                          <w:t>s</w:t>
                        </w:r>
                        <w:r w:rsidR="00B37DED" w:rsidRPr="00B05BC8">
                          <w:rPr>
                            <w:color w:val="111111"/>
                            <w:sz w:val="21"/>
                            <w:szCs w:val="21"/>
                          </w:rPr>
                          <w:t>hift of responsibility from buyer to seller and change in fee structure</w:t>
                        </w:r>
                        <w:r>
                          <w:rPr>
                            <w:color w:val="111111"/>
                            <w:sz w:val="21"/>
                            <w:szCs w:val="21"/>
                          </w:rPr>
                          <w:t xml:space="preserve"> leaves </w:t>
                        </w:r>
                        <w:proofErr w:type="gramStart"/>
                        <w:r>
                          <w:rPr>
                            <w:color w:val="111111"/>
                            <w:sz w:val="21"/>
                            <w:szCs w:val="21"/>
                          </w:rPr>
                          <w:t>a number of</w:t>
                        </w:r>
                        <w:proofErr w:type="gramEnd"/>
                        <w:r>
                          <w:rPr>
                            <w:color w:val="111111"/>
                            <w:sz w:val="21"/>
                            <w:szCs w:val="21"/>
                          </w:rPr>
                          <w:t xml:space="preserve"> open questions which we will highlight below</w:t>
                        </w:r>
                        <w:r w:rsidRPr="007B459F">
                          <w:rPr>
                            <w:b/>
                            <w:bCs/>
                            <w:color w:val="111111"/>
                            <w:sz w:val="22"/>
                            <w:szCs w:val="22"/>
                          </w:rPr>
                          <w:t>.</w:t>
                        </w:r>
                        <w:r w:rsidR="007B459F" w:rsidRPr="007B459F">
                          <w:rPr>
                            <w:b/>
                            <w:bCs/>
                            <w:color w:val="111111"/>
                            <w:sz w:val="22"/>
                            <w:szCs w:val="22"/>
                          </w:rPr>
                          <w:t xml:space="preserve">  </w:t>
                        </w:r>
                        <w:r w:rsidR="007B459F" w:rsidRPr="00F43CB0">
                          <w:rPr>
                            <w:color w:val="111111"/>
                            <w:sz w:val="22"/>
                            <w:szCs w:val="22"/>
                          </w:rPr>
                          <w:t xml:space="preserve">Due to the lack of guidance from the State and the lack of certainty in the legislation, our Company will now require the new fees to be collected at closing, either held in escrow or paid to the State.  </w:t>
                        </w:r>
                        <w:r w:rsidR="00B37DED" w:rsidRPr="00F43CB0">
                          <w:rPr>
                            <w:color w:val="111111"/>
                            <w:sz w:val="21"/>
                            <w:szCs w:val="21"/>
                          </w:rPr>
                          <w:br/>
                        </w:r>
                        <w:r w:rsidR="00B37DED">
                          <w:rPr>
                            <w:color w:val="111111"/>
                            <w:sz w:val="21"/>
                            <w:szCs w:val="21"/>
                          </w:rPr>
                          <w:br/>
                        </w:r>
                        <w:r w:rsidRPr="00BB2F02">
                          <w:rPr>
                            <w:b/>
                            <w:bCs/>
                            <w:color w:val="111111"/>
                            <w:sz w:val="21"/>
                            <w:szCs w:val="21"/>
                          </w:rPr>
                          <w:t>What we know.</w:t>
                        </w:r>
                      </w:p>
                      <w:p w14:paraId="2EB91F7A" w14:textId="77777777" w:rsidR="00B05BC8" w:rsidRDefault="00B05BC8">
                        <w:pPr>
                          <w:pStyle w:val="NormalWeb"/>
                          <w:spacing w:before="0" w:beforeAutospacing="0" w:after="0" w:afterAutospacing="0" w:line="300" w:lineRule="exact"/>
                          <w:rPr>
                            <w:color w:val="111111"/>
                            <w:sz w:val="21"/>
                            <w:szCs w:val="21"/>
                          </w:rPr>
                        </w:pPr>
                      </w:p>
                      <w:p w14:paraId="2C20C500" w14:textId="0F5302A5" w:rsidR="00B37DED" w:rsidRDefault="00B05BC8">
                        <w:pPr>
                          <w:pStyle w:val="NormalWeb"/>
                          <w:spacing w:before="0" w:beforeAutospacing="0" w:after="0" w:afterAutospacing="0" w:line="300" w:lineRule="exact"/>
                          <w:rPr>
                            <w:color w:val="111111"/>
                            <w:sz w:val="21"/>
                            <w:szCs w:val="21"/>
                          </w:rPr>
                        </w:pPr>
                        <w:r>
                          <w:rPr>
                            <w:color w:val="111111"/>
                            <w:sz w:val="21"/>
                            <w:szCs w:val="21"/>
                          </w:rPr>
                          <w:t xml:space="preserve">The new fees </w:t>
                        </w:r>
                        <w:r w:rsidR="00B37DED">
                          <w:rPr>
                            <w:color w:val="111111"/>
                            <w:sz w:val="21"/>
                            <w:szCs w:val="21"/>
                          </w:rPr>
                          <w:t>imposed on the seller</w:t>
                        </w:r>
                        <w:r>
                          <w:rPr>
                            <w:color w:val="111111"/>
                            <w:sz w:val="21"/>
                            <w:szCs w:val="21"/>
                          </w:rPr>
                          <w:t xml:space="preserve"> are </w:t>
                        </w:r>
                        <w:r w:rsidRPr="00B05BC8">
                          <w:rPr>
                            <w:color w:val="111111"/>
                            <w:sz w:val="21"/>
                            <w:szCs w:val="21"/>
                          </w:rPr>
                          <w:t>i</w:t>
                        </w:r>
                        <w:r w:rsidR="00B37DED" w:rsidRPr="00B05BC8">
                          <w:rPr>
                            <w:color w:val="111111"/>
                            <w:sz w:val="21"/>
                            <w:szCs w:val="21"/>
                          </w:rPr>
                          <w:t>n addition to the Realty Transfer Fee</w:t>
                        </w:r>
                        <w:r w:rsidR="00B37DED">
                          <w:rPr>
                            <w:color w:val="111111"/>
                            <w:sz w:val="21"/>
                            <w:szCs w:val="21"/>
                          </w:rPr>
                          <w:t xml:space="preserve"> (N.J.S.A. 46:15-5 et seq.). And although no regulatory guidance or tax forms are yet available (more on that below), N.J.S.A. 46:15-7.2 now contemplates the following fee structure for the "Mansion Tax", which consists of five potential rates, depending on the total amount of consideration stated in the deed:</w:t>
                        </w:r>
                        <w:r w:rsidR="00B37DED">
                          <w:rPr>
                            <w:color w:val="111111"/>
                            <w:sz w:val="21"/>
                            <w:szCs w:val="21"/>
                          </w:rPr>
                          <w:br/>
                          <w:t> </w:t>
                        </w:r>
                      </w:p>
                      <w:p w14:paraId="00325770" w14:textId="77777777" w:rsidR="00B37DED" w:rsidRDefault="00B37DED" w:rsidP="001F396C">
                        <w:pPr>
                          <w:numPr>
                            <w:ilvl w:val="0"/>
                            <w:numId w:val="1"/>
                          </w:numPr>
                          <w:spacing w:line="300" w:lineRule="exact"/>
                          <w:rPr>
                            <w:rFonts w:ascii="Arial" w:eastAsia="Times New Roman" w:hAnsi="Arial" w:cs="Arial"/>
                            <w:color w:val="111111"/>
                            <w:sz w:val="21"/>
                            <w:szCs w:val="21"/>
                          </w:rPr>
                        </w:pPr>
                        <w:r>
                          <w:rPr>
                            <w:rFonts w:ascii="Arial" w:eastAsia="Times New Roman" w:hAnsi="Arial" w:cs="Arial"/>
                            <w:color w:val="111111"/>
                            <w:sz w:val="21"/>
                            <w:szCs w:val="21"/>
                          </w:rPr>
                          <w:t>Consideration of $1,000,000.00 to $2,000,000.00: 1% of the entire consideration</w:t>
                        </w:r>
                      </w:p>
                      <w:p w14:paraId="26510D46" w14:textId="77777777" w:rsidR="00B37DED" w:rsidRDefault="00B37DED" w:rsidP="001F396C">
                        <w:pPr>
                          <w:numPr>
                            <w:ilvl w:val="0"/>
                            <w:numId w:val="1"/>
                          </w:numPr>
                          <w:spacing w:line="300" w:lineRule="exact"/>
                          <w:rPr>
                            <w:rFonts w:ascii="Arial" w:eastAsia="Times New Roman" w:hAnsi="Arial" w:cs="Arial"/>
                            <w:color w:val="111111"/>
                            <w:sz w:val="21"/>
                            <w:szCs w:val="21"/>
                          </w:rPr>
                        </w:pPr>
                        <w:r>
                          <w:rPr>
                            <w:rFonts w:ascii="Arial" w:eastAsia="Times New Roman" w:hAnsi="Arial" w:cs="Arial"/>
                            <w:color w:val="111111"/>
                            <w:sz w:val="21"/>
                            <w:szCs w:val="21"/>
                          </w:rPr>
                          <w:t>Consideration of $2,000,000.01 to $2,500,000.00: 2% of the entire consideration</w:t>
                        </w:r>
                      </w:p>
                      <w:p w14:paraId="0E770901" w14:textId="77777777" w:rsidR="00B37DED" w:rsidRDefault="00B37DED" w:rsidP="001F396C">
                        <w:pPr>
                          <w:numPr>
                            <w:ilvl w:val="0"/>
                            <w:numId w:val="1"/>
                          </w:numPr>
                          <w:spacing w:line="300" w:lineRule="exact"/>
                          <w:rPr>
                            <w:rFonts w:ascii="Arial" w:eastAsia="Times New Roman" w:hAnsi="Arial" w:cs="Arial"/>
                            <w:color w:val="111111"/>
                            <w:sz w:val="21"/>
                            <w:szCs w:val="21"/>
                          </w:rPr>
                        </w:pPr>
                        <w:r>
                          <w:rPr>
                            <w:rFonts w:ascii="Arial" w:eastAsia="Times New Roman" w:hAnsi="Arial" w:cs="Arial"/>
                            <w:color w:val="111111"/>
                            <w:sz w:val="21"/>
                            <w:szCs w:val="21"/>
                          </w:rPr>
                          <w:t>Consideration of $2,500,000.01 to $3,000,000.00: 2.5% of the entire consideration</w:t>
                        </w:r>
                      </w:p>
                      <w:p w14:paraId="07A133AC" w14:textId="77777777" w:rsidR="00B37DED" w:rsidRDefault="00B37DED" w:rsidP="001F396C">
                        <w:pPr>
                          <w:numPr>
                            <w:ilvl w:val="0"/>
                            <w:numId w:val="1"/>
                          </w:numPr>
                          <w:spacing w:line="300" w:lineRule="exact"/>
                          <w:rPr>
                            <w:rFonts w:ascii="Arial" w:eastAsia="Times New Roman" w:hAnsi="Arial" w:cs="Arial"/>
                            <w:color w:val="111111"/>
                            <w:sz w:val="21"/>
                            <w:szCs w:val="21"/>
                          </w:rPr>
                        </w:pPr>
                        <w:r>
                          <w:rPr>
                            <w:rFonts w:ascii="Arial" w:eastAsia="Times New Roman" w:hAnsi="Arial" w:cs="Arial"/>
                            <w:color w:val="111111"/>
                            <w:sz w:val="21"/>
                            <w:szCs w:val="21"/>
                          </w:rPr>
                          <w:t>Consideration of $3,000,000.01 to $3,500,000.00: 3% of the entire consideration</w:t>
                        </w:r>
                      </w:p>
                      <w:p w14:paraId="4E480BD3" w14:textId="77777777" w:rsidR="00B37DED" w:rsidRDefault="00B37DED" w:rsidP="001F396C">
                        <w:pPr>
                          <w:numPr>
                            <w:ilvl w:val="0"/>
                            <w:numId w:val="1"/>
                          </w:numPr>
                          <w:spacing w:line="300" w:lineRule="exact"/>
                          <w:rPr>
                            <w:rFonts w:ascii="Arial" w:eastAsia="Times New Roman" w:hAnsi="Arial" w:cs="Arial"/>
                            <w:color w:val="111111"/>
                            <w:sz w:val="21"/>
                            <w:szCs w:val="21"/>
                          </w:rPr>
                        </w:pPr>
                        <w:r>
                          <w:rPr>
                            <w:rFonts w:ascii="Arial" w:eastAsia="Times New Roman" w:hAnsi="Arial" w:cs="Arial"/>
                            <w:color w:val="111111"/>
                            <w:sz w:val="21"/>
                            <w:szCs w:val="21"/>
                          </w:rPr>
                          <w:lastRenderedPageBreak/>
                          <w:t>Considerations above $3,500,000.00: 3.5% of the entire consideration</w:t>
                        </w:r>
                      </w:p>
                      <w:p w14:paraId="3DCB1382" w14:textId="1A515D26" w:rsidR="00F43CB0" w:rsidRDefault="00B37DED">
                        <w:pPr>
                          <w:pStyle w:val="NormalWeb"/>
                          <w:spacing w:before="0" w:beforeAutospacing="0" w:after="0" w:afterAutospacing="0" w:line="300" w:lineRule="exact"/>
                          <w:rPr>
                            <w:color w:val="111111"/>
                            <w:sz w:val="21"/>
                            <w:szCs w:val="21"/>
                          </w:rPr>
                        </w:pPr>
                        <w:r>
                          <w:rPr>
                            <w:color w:val="111111"/>
                            <w:sz w:val="21"/>
                            <w:szCs w:val="21"/>
                          </w:rPr>
                          <w:br/>
                          <w:t>As before, the "Mansion Tax" applies to transfers of properties that have been classified by the municipal tax assessor as Class 2, 3A (if the farmland contains a residential dwelling), 4A, or 4C (if a cooperative unit). Conveyances for less than $1,000,000.00 remain exempt from the tax.</w:t>
                        </w:r>
                        <w:r>
                          <w:rPr>
                            <w:color w:val="111111"/>
                            <w:sz w:val="21"/>
                            <w:szCs w:val="21"/>
                          </w:rPr>
                          <w:br/>
                        </w:r>
                        <w:r>
                          <w:rPr>
                            <w:color w:val="111111"/>
                            <w:sz w:val="21"/>
                            <w:szCs w:val="21"/>
                          </w:rPr>
                          <w:br/>
                        </w:r>
                        <w:r>
                          <w:rPr>
                            <w:b/>
                            <w:bCs/>
                            <w:color w:val="111111"/>
                            <w:sz w:val="21"/>
                            <w:szCs w:val="21"/>
                          </w:rPr>
                          <w:t>Timing of recording</w:t>
                        </w:r>
                        <w:r>
                          <w:rPr>
                            <w:color w:val="111111"/>
                            <w:sz w:val="21"/>
                            <w:szCs w:val="21"/>
                          </w:rPr>
                          <w:br/>
                        </w:r>
                        <w:r>
                          <w:rPr>
                            <w:color w:val="111111"/>
                            <w:sz w:val="21"/>
                            <w:szCs w:val="21"/>
                          </w:rPr>
                          <w:br/>
                          <w:t xml:space="preserve">The legislation applies to "transfers of real property </w:t>
                        </w:r>
                        <w:r w:rsidR="00BB2F02">
                          <w:rPr>
                            <w:color w:val="111111"/>
                            <w:sz w:val="21"/>
                            <w:szCs w:val="21"/>
                          </w:rPr>
                          <w:t>made for consideration in excess of $1 million which is recorded on or before November 15, 2025 and transferred pursuant to a contract that was fully executed before July 10, 2025.</w:t>
                        </w:r>
                        <w:r>
                          <w:rPr>
                            <w:color w:val="111111"/>
                            <w:sz w:val="21"/>
                            <w:szCs w:val="21"/>
                          </w:rPr>
                          <w:t>"</w:t>
                        </w:r>
                        <w:r>
                          <w:rPr>
                            <w:color w:val="111111"/>
                            <w:sz w:val="21"/>
                            <w:szCs w:val="21"/>
                          </w:rPr>
                          <w:br/>
                        </w:r>
                        <w:r>
                          <w:rPr>
                            <w:color w:val="111111"/>
                            <w:sz w:val="21"/>
                            <w:szCs w:val="21"/>
                          </w:rPr>
                          <w:br/>
                        </w:r>
                        <w:r w:rsidR="00BB2F02">
                          <w:rPr>
                            <w:color w:val="111111"/>
                            <w:sz w:val="21"/>
                            <w:szCs w:val="21"/>
                          </w:rPr>
                          <w:t xml:space="preserve">We do not know how </w:t>
                        </w:r>
                        <w:r w:rsidR="003869B6">
                          <w:rPr>
                            <w:color w:val="111111"/>
                            <w:sz w:val="21"/>
                            <w:szCs w:val="21"/>
                          </w:rPr>
                          <w:t>the</w:t>
                        </w:r>
                        <w:r>
                          <w:rPr>
                            <w:color w:val="111111"/>
                            <w:sz w:val="21"/>
                            <w:szCs w:val="21"/>
                          </w:rPr>
                          <w:t xml:space="preserve"> </w:t>
                        </w:r>
                        <w:r w:rsidR="003869B6">
                          <w:rPr>
                            <w:color w:val="111111"/>
                            <w:sz w:val="21"/>
                            <w:szCs w:val="21"/>
                          </w:rPr>
                          <w:t xml:space="preserve">NJ </w:t>
                        </w:r>
                        <w:r>
                          <w:rPr>
                            <w:color w:val="111111"/>
                            <w:sz w:val="21"/>
                            <w:szCs w:val="21"/>
                          </w:rPr>
                          <w:t xml:space="preserve">Division of Taxation, and the State's </w:t>
                        </w:r>
                        <w:r w:rsidR="00BB2F02">
                          <w:rPr>
                            <w:color w:val="111111"/>
                            <w:sz w:val="21"/>
                            <w:szCs w:val="21"/>
                          </w:rPr>
                          <w:t>twenty-one</w:t>
                        </w:r>
                        <w:r>
                          <w:rPr>
                            <w:color w:val="111111"/>
                            <w:sz w:val="21"/>
                            <w:szCs w:val="21"/>
                          </w:rPr>
                          <w:t xml:space="preserve"> county recording offices</w:t>
                        </w:r>
                        <w:r w:rsidR="00C80B5E">
                          <w:rPr>
                            <w:color w:val="111111"/>
                            <w:sz w:val="21"/>
                            <w:szCs w:val="21"/>
                          </w:rPr>
                          <w:t xml:space="preserve"> will</w:t>
                        </w:r>
                        <w:r>
                          <w:rPr>
                            <w:color w:val="111111"/>
                            <w:sz w:val="21"/>
                            <w:szCs w:val="21"/>
                          </w:rPr>
                          <w:t xml:space="preserve"> treat deed</w:t>
                        </w:r>
                        <w:r w:rsidR="00C80B5E">
                          <w:rPr>
                            <w:color w:val="111111"/>
                            <w:sz w:val="21"/>
                            <w:szCs w:val="21"/>
                          </w:rPr>
                          <w:t>s</w:t>
                        </w:r>
                        <w:r>
                          <w:rPr>
                            <w:color w:val="111111"/>
                            <w:sz w:val="21"/>
                            <w:szCs w:val="21"/>
                          </w:rPr>
                          <w:t xml:space="preserve"> executed </w:t>
                        </w:r>
                        <w:r w:rsidR="00C80B5E">
                          <w:rPr>
                            <w:color w:val="111111"/>
                            <w:sz w:val="21"/>
                            <w:szCs w:val="21"/>
                          </w:rPr>
                          <w:t>before July 10</w:t>
                        </w:r>
                        <w:r w:rsidR="00C80B5E" w:rsidRPr="00C80B5E">
                          <w:rPr>
                            <w:color w:val="111111"/>
                            <w:sz w:val="21"/>
                            <w:szCs w:val="21"/>
                            <w:vertAlign w:val="superscript"/>
                          </w:rPr>
                          <w:t>th</w:t>
                        </w:r>
                        <w:r w:rsidR="00C80B5E">
                          <w:rPr>
                            <w:color w:val="111111"/>
                            <w:sz w:val="21"/>
                            <w:szCs w:val="21"/>
                            <w:vertAlign w:val="superscript"/>
                          </w:rPr>
                          <w:t>,</w:t>
                        </w:r>
                        <w:r>
                          <w:rPr>
                            <w:color w:val="111111"/>
                            <w:sz w:val="21"/>
                            <w:szCs w:val="21"/>
                          </w:rPr>
                          <w:t xml:space="preserve"> submitted for recording on July </w:t>
                        </w:r>
                        <w:r w:rsidR="00BB2F02">
                          <w:rPr>
                            <w:color w:val="111111"/>
                            <w:sz w:val="21"/>
                            <w:szCs w:val="21"/>
                          </w:rPr>
                          <w:t>9</w:t>
                        </w:r>
                        <w:r w:rsidR="00BB2F02" w:rsidRPr="00BB2F02">
                          <w:rPr>
                            <w:color w:val="111111"/>
                            <w:sz w:val="21"/>
                            <w:szCs w:val="21"/>
                            <w:vertAlign w:val="superscript"/>
                          </w:rPr>
                          <w:t>th</w:t>
                        </w:r>
                        <w:r w:rsidR="00BB2F02">
                          <w:rPr>
                            <w:color w:val="111111"/>
                            <w:sz w:val="21"/>
                            <w:szCs w:val="21"/>
                          </w:rPr>
                          <w:t xml:space="preserve"> </w:t>
                        </w:r>
                        <w:r w:rsidR="00F43CB0">
                          <w:rPr>
                            <w:color w:val="111111"/>
                            <w:sz w:val="21"/>
                            <w:szCs w:val="21"/>
                          </w:rPr>
                          <w:t>or sooner</w:t>
                        </w:r>
                        <w:r w:rsidR="00BB2F02">
                          <w:rPr>
                            <w:color w:val="111111"/>
                            <w:sz w:val="21"/>
                            <w:szCs w:val="21"/>
                          </w:rPr>
                          <w:t xml:space="preserve"> </w:t>
                        </w:r>
                        <w:r>
                          <w:rPr>
                            <w:color w:val="111111"/>
                            <w:sz w:val="21"/>
                            <w:szCs w:val="21"/>
                          </w:rPr>
                          <w:t xml:space="preserve">but actually indexed by a county recording officer on </w:t>
                        </w:r>
                        <w:r w:rsidR="00BB2F02">
                          <w:rPr>
                            <w:color w:val="111111"/>
                            <w:sz w:val="21"/>
                            <w:szCs w:val="21"/>
                          </w:rPr>
                          <w:t>or after July 10</w:t>
                        </w:r>
                        <w:r w:rsidR="00BB2F02" w:rsidRPr="00BB2F02">
                          <w:rPr>
                            <w:color w:val="111111"/>
                            <w:sz w:val="21"/>
                            <w:szCs w:val="21"/>
                            <w:vertAlign w:val="superscript"/>
                          </w:rPr>
                          <w:t>th</w:t>
                        </w:r>
                        <w:r w:rsidR="00BB2F02">
                          <w:rPr>
                            <w:color w:val="111111"/>
                            <w:sz w:val="21"/>
                            <w:szCs w:val="21"/>
                          </w:rPr>
                          <w:t xml:space="preserve"> or rejected and resubmitted at a later date </w:t>
                        </w:r>
                        <w:r>
                          <w:rPr>
                            <w:color w:val="111111"/>
                            <w:sz w:val="21"/>
                            <w:szCs w:val="21"/>
                          </w:rPr>
                          <w:t>July 12 or later</w:t>
                        </w:r>
                        <w:r w:rsidR="00BB2F02">
                          <w:rPr>
                            <w:color w:val="111111"/>
                            <w:sz w:val="21"/>
                            <w:szCs w:val="21"/>
                          </w:rPr>
                          <w:t xml:space="preserve">.  Therefore, we will require </w:t>
                        </w:r>
                        <w:r>
                          <w:rPr>
                            <w:color w:val="111111"/>
                            <w:sz w:val="21"/>
                            <w:szCs w:val="21"/>
                          </w:rPr>
                          <w:t xml:space="preserve">the increased tax </w:t>
                        </w:r>
                        <w:r w:rsidR="00C80B5E">
                          <w:rPr>
                            <w:color w:val="111111"/>
                            <w:sz w:val="21"/>
                            <w:szCs w:val="21"/>
                          </w:rPr>
                          <w:t xml:space="preserve">be </w:t>
                        </w:r>
                        <w:r w:rsidR="00BB2F02">
                          <w:rPr>
                            <w:color w:val="111111"/>
                            <w:sz w:val="21"/>
                            <w:szCs w:val="21"/>
                          </w:rPr>
                          <w:t xml:space="preserve">collected.  </w:t>
                        </w:r>
                      </w:p>
                      <w:p w14:paraId="36BFBC0E" w14:textId="520CE806" w:rsidR="00C80B5E" w:rsidRDefault="00B37DED">
                        <w:pPr>
                          <w:pStyle w:val="NormalWeb"/>
                          <w:spacing w:before="0" w:beforeAutospacing="0" w:after="0" w:afterAutospacing="0" w:line="300" w:lineRule="exact"/>
                          <w:rPr>
                            <w:color w:val="111111"/>
                            <w:sz w:val="21"/>
                            <w:szCs w:val="21"/>
                          </w:rPr>
                        </w:pPr>
                        <w:r>
                          <w:rPr>
                            <w:color w:val="111111"/>
                            <w:sz w:val="21"/>
                            <w:szCs w:val="21"/>
                          </w:rPr>
                          <w:br/>
                          <w:t xml:space="preserve">Revisions to N.J.S.A. 46:15-7.4 will allow a grantor to claim a refund from the </w:t>
                        </w:r>
                        <w:r w:rsidR="003869B6">
                          <w:rPr>
                            <w:color w:val="111111"/>
                            <w:sz w:val="21"/>
                            <w:szCs w:val="21"/>
                          </w:rPr>
                          <w:t xml:space="preserve">NJ </w:t>
                        </w:r>
                        <w:r>
                          <w:rPr>
                            <w:color w:val="111111"/>
                            <w:sz w:val="21"/>
                            <w:szCs w:val="21"/>
                          </w:rPr>
                          <w:t xml:space="preserve">Division of Taxation for any "Mansion Tax" paid </w:t>
                        </w:r>
                        <w:proofErr w:type="gramStart"/>
                        <w:r>
                          <w:rPr>
                            <w:color w:val="111111"/>
                            <w:sz w:val="21"/>
                            <w:szCs w:val="21"/>
                          </w:rPr>
                          <w:t>in excess of</w:t>
                        </w:r>
                        <w:proofErr w:type="gramEnd"/>
                        <w:r>
                          <w:rPr>
                            <w:color w:val="111111"/>
                            <w:sz w:val="21"/>
                            <w:szCs w:val="21"/>
                          </w:rPr>
                          <w:t xml:space="preserve"> the old 1% rate, but only if the contract for the sale of real estate was executed prior to July 10, 2025, and the deed is recorded prior to November 15, 2025. </w:t>
                        </w:r>
                        <w:r>
                          <w:rPr>
                            <w:color w:val="111111"/>
                            <w:sz w:val="21"/>
                            <w:szCs w:val="21"/>
                          </w:rPr>
                          <w:br/>
                        </w:r>
                        <w:r>
                          <w:rPr>
                            <w:color w:val="111111"/>
                            <w:sz w:val="21"/>
                            <w:szCs w:val="21"/>
                          </w:rPr>
                          <w:br/>
                        </w:r>
                        <w:r>
                          <w:rPr>
                            <w:b/>
                            <w:bCs/>
                            <w:color w:val="111111"/>
                            <w:sz w:val="21"/>
                            <w:szCs w:val="21"/>
                          </w:rPr>
                          <w:t>Tax forms</w:t>
                        </w:r>
                        <w:r>
                          <w:rPr>
                            <w:color w:val="111111"/>
                            <w:sz w:val="21"/>
                            <w:szCs w:val="21"/>
                          </w:rPr>
                          <w:br/>
                        </w:r>
                        <w:r>
                          <w:rPr>
                            <w:color w:val="111111"/>
                            <w:sz w:val="21"/>
                            <w:szCs w:val="21"/>
                          </w:rPr>
                          <w:br/>
                        </w:r>
                        <w:r w:rsidR="00BB2F02">
                          <w:rPr>
                            <w:color w:val="111111"/>
                            <w:sz w:val="21"/>
                            <w:szCs w:val="21"/>
                          </w:rPr>
                          <w:t>We are still waiting for the</w:t>
                        </w:r>
                        <w:r w:rsidR="003869B6">
                          <w:rPr>
                            <w:color w:val="111111"/>
                            <w:sz w:val="21"/>
                            <w:szCs w:val="21"/>
                          </w:rPr>
                          <w:t xml:space="preserve"> NJ</w:t>
                        </w:r>
                        <w:r w:rsidR="00BB2F02">
                          <w:rPr>
                            <w:color w:val="111111"/>
                            <w:sz w:val="21"/>
                            <w:szCs w:val="21"/>
                          </w:rPr>
                          <w:t xml:space="preserve"> </w:t>
                        </w:r>
                        <w:r>
                          <w:rPr>
                            <w:color w:val="111111"/>
                            <w:sz w:val="21"/>
                            <w:szCs w:val="21"/>
                          </w:rPr>
                          <w:t xml:space="preserve">Division of Taxation </w:t>
                        </w:r>
                        <w:r w:rsidR="00BB2F02">
                          <w:rPr>
                            <w:color w:val="111111"/>
                            <w:sz w:val="21"/>
                            <w:szCs w:val="21"/>
                          </w:rPr>
                          <w:t xml:space="preserve">to </w:t>
                        </w:r>
                        <w:r>
                          <w:rPr>
                            <w:color w:val="111111"/>
                            <w:sz w:val="21"/>
                            <w:szCs w:val="21"/>
                          </w:rPr>
                          <w:t>either eliminate or replace the</w:t>
                        </w:r>
                        <w:r>
                          <w:rPr>
                            <w:b/>
                            <w:bCs/>
                            <w:color w:val="111111"/>
                            <w:sz w:val="21"/>
                            <w:szCs w:val="21"/>
                          </w:rPr>
                          <w:t xml:space="preserve"> Affidavit of Consideration for Use by Buyer </w:t>
                        </w:r>
                        <w:r>
                          <w:rPr>
                            <w:color w:val="111111"/>
                            <w:sz w:val="21"/>
                            <w:szCs w:val="21"/>
                          </w:rPr>
                          <w:t xml:space="preserve">(form RTF-1EE) or potentially revise the </w:t>
                        </w:r>
                        <w:r>
                          <w:rPr>
                            <w:b/>
                            <w:bCs/>
                            <w:color w:val="111111"/>
                            <w:sz w:val="21"/>
                            <w:szCs w:val="21"/>
                          </w:rPr>
                          <w:t>Affidavit of Consideration for Use by Seller</w:t>
                        </w:r>
                        <w:r>
                          <w:rPr>
                            <w:color w:val="111111"/>
                            <w:sz w:val="21"/>
                            <w:szCs w:val="21"/>
                          </w:rPr>
                          <w:t xml:space="preserve"> (form RTF-1) before the July 10 implementation date. Accordingly, in addition to the payment of the increased tax, the revised form(s) will also need to be affixed to deeds submitted for recording. It is suggested that </w:t>
                        </w:r>
                        <w:r w:rsidR="00BB2F02">
                          <w:rPr>
                            <w:color w:val="111111"/>
                            <w:sz w:val="21"/>
                            <w:szCs w:val="21"/>
                          </w:rPr>
                          <w:t>everyone</w:t>
                        </w:r>
                        <w:r>
                          <w:rPr>
                            <w:color w:val="111111"/>
                            <w:sz w:val="21"/>
                            <w:szCs w:val="21"/>
                          </w:rPr>
                          <w:t xml:space="preserve"> closely </w:t>
                        </w:r>
                        <w:proofErr w:type="gramStart"/>
                        <w:r>
                          <w:rPr>
                            <w:color w:val="111111"/>
                            <w:sz w:val="21"/>
                            <w:szCs w:val="21"/>
                          </w:rPr>
                          <w:t>monitor</w:t>
                        </w:r>
                        <w:proofErr w:type="gramEnd"/>
                        <w:r>
                          <w:rPr>
                            <w:color w:val="111111"/>
                            <w:sz w:val="21"/>
                            <w:szCs w:val="21"/>
                          </w:rPr>
                          <w:t xml:space="preserve"> the Division of Taxation's website for new forms. However, this is a tight timeframe, and it is unclear how the counties will react </w:t>
                        </w:r>
                        <w:proofErr w:type="gramStart"/>
                        <w:r>
                          <w:rPr>
                            <w:color w:val="111111"/>
                            <w:sz w:val="21"/>
                            <w:szCs w:val="21"/>
                          </w:rPr>
                          <w:t>in the event that</w:t>
                        </w:r>
                        <w:proofErr w:type="gramEnd"/>
                        <w:r>
                          <w:rPr>
                            <w:color w:val="111111"/>
                            <w:sz w:val="21"/>
                            <w:szCs w:val="21"/>
                          </w:rPr>
                          <w:t xml:space="preserve"> new forms are not available by the statute's effective date.</w:t>
                        </w:r>
                        <w:r>
                          <w:rPr>
                            <w:color w:val="111111"/>
                            <w:sz w:val="21"/>
                            <w:szCs w:val="21"/>
                          </w:rPr>
                          <w:br/>
                        </w:r>
                      </w:p>
                      <w:p w14:paraId="477F8D15" w14:textId="4EBF9F85" w:rsidR="00C80B5E" w:rsidRDefault="00C80B5E">
                        <w:pPr>
                          <w:pStyle w:val="NormalWeb"/>
                          <w:spacing w:before="0" w:beforeAutospacing="0" w:after="0" w:afterAutospacing="0" w:line="300" w:lineRule="exact"/>
                          <w:rPr>
                            <w:b/>
                            <w:bCs/>
                            <w:color w:val="111111"/>
                            <w:sz w:val="21"/>
                            <w:szCs w:val="21"/>
                          </w:rPr>
                        </w:pPr>
                        <w:r w:rsidRPr="00C80B5E">
                          <w:rPr>
                            <w:b/>
                            <w:bCs/>
                            <w:color w:val="111111"/>
                            <w:sz w:val="21"/>
                            <w:szCs w:val="21"/>
                          </w:rPr>
                          <w:t>Practical Tips for the Real Estate Practitioner</w:t>
                        </w:r>
                      </w:p>
                      <w:p w14:paraId="405493C9" w14:textId="77777777" w:rsidR="00C80B5E" w:rsidRDefault="00C80B5E">
                        <w:pPr>
                          <w:pStyle w:val="NormalWeb"/>
                          <w:spacing w:before="0" w:beforeAutospacing="0" w:after="0" w:afterAutospacing="0" w:line="300" w:lineRule="exact"/>
                          <w:rPr>
                            <w:b/>
                            <w:bCs/>
                            <w:color w:val="111111"/>
                            <w:sz w:val="21"/>
                            <w:szCs w:val="21"/>
                          </w:rPr>
                        </w:pPr>
                      </w:p>
                      <w:p w14:paraId="18F3C588" w14:textId="1AEA7DF4" w:rsidR="003869B6" w:rsidRDefault="00C80B5E" w:rsidP="00A06457">
                        <w:pPr>
                          <w:pStyle w:val="NormalWeb"/>
                          <w:numPr>
                            <w:ilvl w:val="0"/>
                            <w:numId w:val="2"/>
                          </w:numPr>
                          <w:spacing w:before="0" w:beforeAutospacing="0" w:after="0" w:afterAutospacing="0" w:line="300" w:lineRule="exact"/>
                          <w:rPr>
                            <w:color w:val="111111"/>
                            <w:sz w:val="21"/>
                            <w:szCs w:val="21"/>
                          </w:rPr>
                        </w:pPr>
                        <w:r w:rsidRPr="003869B6">
                          <w:rPr>
                            <w:color w:val="111111"/>
                            <w:sz w:val="21"/>
                            <w:szCs w:val="21"/>
                          </w:rPr>
                          <w:t>Review all pending contracts and contact your clients regarding the change in law.</w:t>
                        </w:r>
                        <w:r w:rsidR="003869B6">
                          <w:rPr>
                            <w:color w:val="111111"/>
                            <w:sz w:val="21"/>
                            <w:szCs w:val="21"/>
                          </w:rPr>
                          <w:t xml:space="preserve">  </w:t>
                        </w:r>
                      </w:p>
                      <w:p w14:paraId="63C98D5F" w14:textId="77777777" w:rsidR="003869B6" w:rsidRDefault="00C80B5E" w:rsidP="00EB5C14">
                        <w:pPr>
                          <w:pStyle w:val="NormalWeb"/>
                          <w:numPr>
                            <w:ilvl w:val="0"/>
                            <w:numId w:val="2"/>
                          </w:numPr>
                          <w:spacing w:before="0" w:beforeAutospacing="0" w:after="0" w:afterAutospacing="0" w:line="300" w:lineRule="exact"/>
                          <w:rPr>
                            <w:color w:val="111111"/>
                            <w:sz w:val="21"/>
                            <w:szCs w:val="21"/>
                          </w:rPr>
                        </w:pPr>
                        <w:r w:rsidRPr="003869B6">
                          <w:rPr>
                            <w:color w:val="111111"/>
                            <w:sz w:val="21"/>
                            <w:szCs w:val="21"/>
                          </w:rPr>
                          <w:lastRenderedPageBreak/>
                          <w:t>Review all new contracts for language regarding the Mansion Tax or any other transfer taxes</w:t>
                        </w:r>
                        <w:r w:rsidR="00F43CB0" w:rsidRPr="003869B6">
                          <w:rPr>
                            <w:color w:val="111111"/>
                            <w:sz w:val="21"/>
                            <w:szCs w:val="21"/>
                          </w:rPr>
                          <w:t xml:space="preserve"> so you don’t create contract obligations overriding the new statutory presumption. </w:t>
                        </w:r>
                      </w:p>
                      <w:p w14:paraId="1E9BCA82" w14:textId="77777777" w:rsidR="003869B6" w:rsidRDefault="003869B6" w:rsidP="003869B6">
                        <w:pPr>
                          <w:pStyle w:val="NormalWeb"/>
                          <w:spacing w:before="0" w:beforeAutospacing="0" w:after="0" w:afterAutospacing="0" w:line="300" w:lineRule="exact"/>
                          <w:ind w:left="720"/>
                          <w:rPr>
                            <w:color w:val="111111"/>
                            <w:sz w:val="21"/>
                            <w:szCs w:val="21"/>
                          </w:rPr>
                        </w:pPr>
                      </w:p>
                      <w:p w14:paraId="37F69760" w14:textId="7174991F" w:rsidR="003869B6" w:rsidRDefault="006D0CA3" w:rsidP="003869B6">
                        <w:pPr>
                          <w:pStyle w:val="NormalWeb"/>
                          <w:numPr>
                            <w:ilvl w:val="0"/>
                            <w:numId w:val="2"/>
                          </w:numPr>
                          <w:spacing w:before="0" w:beforeAutospacing="0" w:after="0" w:afterAutospacing="0" w:line="300" w:lineRule="exact"/>
                          <w:rPr>
                            <w:color w:val="111111"/>
                            <w:sz w:val="21"/>
                            <w:szCs w:val="21"/>
                          </w:rPr>
                        </w:pPr>
                        <w:r w:rsidRPr="003869B6">
                          <w:rPr>
                            <w:color w:val="111111"/>
                            <w:sz w:val="21"/>
                            <w:szCs w:val="21"/>
                          </w:rPr>
                          <w:t>On new contracts, try to finalize “attorney review</w:t>
                        </w:r>
                        <w:r w:rsidR="003869B6">
                          <w:rPr>
                            <w:color w:val="111111"/>
                            <w:sz w:val="21"/>
                            <w:szCs w:val="21"/>
                          </w:rPr>
                          <w:t>”</w:t>
                        </w:r>
                        <w:r w:rsidRPr="003869B6">
                          <w:rPr>
                            <w:color w:val="111111"/>
                            <w:sz w:val="21"/>
                            <w:szCs w:val="21"/>
                          </w:rPr>
                          <w:t xml:space="preserve"> prior to July 10</w:t>
                        </w:r>
                        <w:r w:rsidRPr="003869B6">
                          <w:rPr>
                            <w:color w:val="111111"/>
                            <w:sz w:val="21"/>
                            <w:szCs w:val="21"/>
                            <w:vertAlign w:val="superscript"/>
                          </w:rPr>
                          <w:t>th</w:t>
                        </w:r>
                        <w:r w:rsidRPr="003869B6">
                          <w:rPr>
                            <w:color w:val="111111"/>
                            <w:sz w:val="21"/>
                            <w:szCs w:val="21"/>
                          </w:rPr>
                          <w:t>.  The statute is not specific a</w:t>
                        </w:r>
                        <w:r w:rsidR="00C80B5E" w:rsidRPr="003869B6">
                          <w:rPr>
                            <w:color w:val="111111"/>
                            <w:sz w:val="21"/>
                            <w:szCs w:val="21"/>
                          </w:rPr>
                          <w:t>s to what “under contract” means</w:t>
                        </w:r>
                        <w:r w:rsidRPr="003869B6">
                          <w:rPr>
                            <w:color w:val="111111"/>
                            <w:sz w:val="21"/>
                            <w:szCs w:val="21"/>
                          </w:rPr>
                          <w:t>.</w:t>
                        </w:r>
                      </w:p>
                      <w:p w14:paraId="0A1A0B81" w14:textId="77777777" w:rsidR="003869B6" w:rsidRDefault="003869B6" w:rsidP="003869B6">
                        <w:pPr>
                          <w:pStyle w:val="ListParagraph"/>
                          <w:rPr>
                            <w:color w:val="111111"/>
                            <w:sz w:val="21"/>
                            <w:szCs w:val="21"/>
                          </w:rPr>
                        </w:pPr>
                      </w:p>
                      <w:p w14:paraId="084F0A94" w14:textId="3940E5C1" w:rsidR="00C80B5E" w:rsidRPr="003869B6" w:rsidRDefault="00C80B5E" w:rsidP="003869B6">
                        <w:pPr>
                          <w:pStyle w:val="NormalWeb"/>
                          <w:numPr>
                            <w:ilvl w:val="0"/>
                            <w:numId w:val="2"/>
                          </w:numPr>
                          <w:spacing w:before="0" w:beforeAutospacing="0" w:after="0" w:afterAutospacing="0" w:line="300" w:lineRule="exact"/>
                          <w:rPr>
                            <w:color w:val="111111"/>
                            <w:sz w:val="21"/>
                            <w:szCs w:val="21"/>
                          </w:rPr>
                        </w:pPr>
                        <w:r w:rsidRPr="003869B6">
                          <w:rPr>
                            <w:color w:val="111111"/>
                            <w:sz w:val="21"/>
                            <w:szCs w:val="21"/>
                          </w:rPr>
                          <w:t xml:space="preserve">Partial Exemptions for Seller’s to the RTF may not apply </w:t>
                        </w:r>
                        <w:r w:rsidR="00F43CB0" w:rsidRPr="003869B6">
                          <w:rPr>
                            <w:color w:val="111111"/>
                            <w:sz w:val="21"/>
                            <w:szCs w:val="21"/>
                          </w:rPr>
                          <w:t>to the new fees.  Until the State provides guidance, assume they do</w:t>
                        </w:r>
                        <w:r w:rsidR="008F6C9F">
                          <w:rPr>
                            <w:color w:val="111111"/>
                            <w:sz w:val="21"/>
                            <w:szCs w:val="21"/>
                          </w:rPr>
                          <w:t xml:space="preserve"> not</w:t>
                        </w:r>
                        <w:r w:rsidR="00F43CB0" w:rsidRPr="003869B6">
                          <w:rPr>
                            <w:color w:val="111111"/>
                            <w:sz w:val="21"/>
                            <w:szCs w:val="21"/>
                          </w:rPr>
                          <w:t xml:space="preserve"> apply. </w:t>
                        </w:r>
                      </w:p>
                      <w:p w14:paraId="633BCCC3" w14:textId="77777777" w:rsidR="006D0CA3" w:rsidRDefault="006D0CA3">
                        <w:pPr>
                          <w:pStyle w:val="NormalWeb"/>
                          <w:spacing w:before="0" w:beforeAutospacing="0" w:after="0" w:afterAutospacing="0" w:line="300" w:lineRule="exact"/>
                          <w:rPr>
                            <w:color w:val="111111"/>
                            <w:sz w:val="21"/>
                            <w:szCs w:val="21"/>
                          </w:rPr>
                        </w:pPr>
                      </w:p>
                      <w:p w14:paraId="00AF8C8B" w14:textId="501E1AF5" w:rsidR="006D0CA3" w:rsidRDefault="006D0CA3">
                        <w:pPr>
                          <w:pStyle w:val="NormalWeb"/>
                          <w:spacing w:before="0" w:beforeAutospacing="0" w:after="0" w:afterAutospacing="0" w:line="300" w:lineRule="exact"/>
                          <w:rPr>
                            <w:color w:val="111111"/>
                            <w:sz w:val="21"/>
                            <w:szCs w:val="21"/>
                          </w:rPr>
                        </w:pPr>
                        <w:r>
                          <w:rPr>
                            <w:color w:val="111111"/>
                            <w:sz w:val="21"/>
                            <w:szCs w:val="21"/>
                          </w:rPr>
                          <w:t xml:space="preserve">We are available to answer your questions on this matter.  You can contact me directly at </w:t>
                        </w:r>
                        <w:hyperlink r:id="rId7" w:history="1">
                          <w:r w:rsidRPr="001011F5">
                            <w:rPr>
                              <w:rStyle w:val="Hyperlink"/>
                              <w:sz w:val="21"/>
                              <w:szCs w:val="21"/>
                            </w:rPr>
                            <w:t>mcohen@tworiverstitle.com</w:t>
                          </w:r>
                        </w:hyperlink>
                        <w:r>
                          <w:rPr>
                            <w:color w:val="111111"/>
                            <w:sz w:val="21"/>
                            <w:szCs w:val="21"/>
                          </w:rPr>
                          <w:t>.</w:t>
                        </w:r>
                      </w:p>
                      <w:p w14:paraId="7F1E6CCE" w14:textId="77777777" w:rsidR="006D0CA3" w:rsidRDefault="006D0CA3">
                        <w:pPr>
                          <w:pStyle w:val="NormalWeb"/>
                          <w:spacing w:before="0" w:beforeAutospacing="0" w:after="0" w:afterAutospacing="0" w:line="300" w:lineRule="exact"/>
                          <w:rPr>
                            <w:color w:val="111111"/>
                            <w:sz w:val="21"/>
                            <w:szCs w:val="21"/>
                          </w:rPr>
                        </w:pPr>
                      </w:p>
                      <w:p w14:paraId="70CE9CDB" w14:textId="77777777" w:rsidR="006D0CA3" w:rsidRDefault="006D0CA3">
                        <w:pPr>
                          <w:pStyle w:val="NormalWeb"/>
                          <w:spacing w:before="0" w:beforeAutospacing="0" w:after="0" w:afterAutospacing="0" w:line="300" w:lineRule="exact"/>
                          <w:rPr>
                            <w:color w:val="111111"/>
                            <w:sz w:val="21"/>
                            <w:szCs w:val="21"/>
                          </w:rPr>
                        </w:pPr>
                      </w:p>
                      <w:p w14:paraId="69C58C78" w14:textId="77777777" w:rsidR="00F43CB0" w:rsidRDefault="00F43CB0">
                        <w:pPr>
                          <w:pStyle w:val="NormalWeb"/>
                          <w:spacing w:before="0" w:beforeAutospacing="0" w:after="0" w:afterAutospacing="0" w:line="300" w:lineRule="exact"/>
                          <w:rPr>
                            <w:color w:val="111111"/>
                            <w:sz w:val="21"/>
                            <w:szCs w:val="21"/>
                          </w:rPr>
                        </w:pPr>
                      </w:p>
                      <w:p w14:paraId="6345CB66" w14:textId="77777777" w:rsidR="00F43CB0" w:rsidRDefault="00F43CB0">
                        <w:pPr>
                          <w:pStyle w:val="NormalWeb"/>
                          <w:spacing w:before="0" w:beforeAutospacing="0" w:after="0" w:afterAutospacing="0" w:line="300" w:lineRule="exact"/>
                          <w:rPr>
                            <w:color w:val="111111"/>
                            <w:sz w:val="21"/>
                            <w:szCs w:val="21"/>
                          </w:rPr>
                        </w:pPr>
                      </w:p>
                      <w:p w14:paraId="26233886" w14:textId="77777777" w:rsidR="00C80B5E" w:rsidRPr="00C80B5E" w:rsidRDefault="00C80B5E">
                        <w:pPr>
                          <w:pStyle w:val="NormalWeb"/>
                          <w:spacing w:before="0" w:beforeAutospacing="0" w:after="0" w:afterAutospacing="0" w:line="300" w:lineRule="exact"/>
                          <w:rPr>
                            <w:color w:val="111111"/>
                            <w:sz w:val="21"/>
                            <w:szCs w:val="21"/>
                          </w:rPr>
                        </w:pPr>
                      </w:p>
                      <w:p w14:paraId="3CFA7C4A" w14:textId="48999896" w:rsidR="00B37DED" w:rsidRDefault="00B37DED">
                        <w:pPr>
                          <w:pStyle w:val="NormalWeb"/>
                          <w:spacing w:before="0" w:beforeAutospacing="0" w:after="0" w:afterAutospacing="0" w:line="300" w:lineRule="exact"/>
                          <w:rPr>
                            <w:color w:val="111111"/>
                            <w:sz w:val="21"/>
                            <w:szCs w:val="21"/>
                          </w:rPr>
                        </w:pPr>
                        <w:r>
                          <w:rPr>
                            <w:color w:val="111111"/>
                            <w:sz w:val="21"/>
                            <w:szCs w:val="21"/>
                          </w:rPr>
                          <w:br/>
                        </w:r>
                      </w:p>
                    </w:tc>
                  </w:tr>
                  <w:tr w:rsidR="00B05BC8" w14:paraId="75E8DEDC" w14:textId="77777777">
                    <w:trPr>
                      <w:jc w:val="center"/>
                    </w:trPr>
                    <w:tc>
                      <w:tcPr>
                        <w:tcW w:w="0" w:type="auto"/>
                        <w:vAlign w:val="center"/>
                      </w:tcPr>
                      <w:p w14:paraId="1554EBDB" w14:textId="77777777" w:rsidR="00B05BC8" w:rsidRDefault="00B05BC8">
                        <w:pPr>
                          <w:pStyle w:val="NormalWeb"/>
                          <w:spacing w:before="0" w:beforeAutospacing="0" w:after="0" w:afterAutospacing="0" w:line="300" w:lineRule="exact"/>
                          <w:rPr>
                            <w:color w:val="111111"/>
                            <w:sz w:val="21"/>
                            <w:szCs w:val="21"/>
                          </w:rPr>
                        </w:pPr>
                      </w:p>
                    </w:tc>
                  </w:tr>
                  <w:tr w:rsidR="006D0CA3" w14:paraId="10E2336A" w14:textId="77777777">
                    <w:trPr>
                      <w:jc w:val="center"/>
                    </w:trPr>
                    <w:tc>
                      <w:tcPr>
                        <w:tcW w:w="0" w:type="auto"/>
                        <w:vAlign w:val="center"/>
                      </w:tcPr>
                      <w:p w14:paraId="7203A51D" w14:textId="77777777" w:rsidR="006D0CA3" w:rsidRDefault="006D0CA3">
                        <w:pPr>
                          <w:pStyle w:val="NormalWeb"/>
                          <w:spacing w:before="0" w:beforeAutospacing="0" w:after="0" w:afterAutospacing="0" w:line="300" w:lineRule="exact"/>
                          <w:rPr>
                            <w:color w:val="111111"/>
                            <w:sz w:val="21"/>
                            <w:szCs w:val="21"/>
                          </w:rPr>
                        </w:pPr>
                      </w:p>
                    </w:tc>
                  </w:tr>
                </w:tbl>
                <w:p w14:paraId="4F50DDCE" w14:textId="77777777" w:rsidR="00B37DED" w:rsidRDefault="00B37DED">
                  <w:pPr>
                    <w:jc w:val="center"/>
                    <w:rPr>
                      <w:rFonts w:ascii="Times New Roman" w:eastAsia="Times New Roman" w:hAnsi="Times New Roman" w:cs="Times New Roman"/>
                      <w:sz w:val="20"/>
                      <w:szCs w:val="20"/>
                    </w:rPr>
                  </w:pPr>
                </w:p>
              </w:tc>
            </w:tr>
          </w:tbl>
          <w:p w14:paraId="55DC460D" w14:textId="77777777" w:rsidR="00B37DED" w:rsidRDefault="00B37DED">
            <w:pPr>
              <w:rPr>
                <w:rFonts w:ascii="Times New Roman" w:eastAsia="Times New Roman" w:hAnsi="Times New Roman" w:cs="Times New Roman"/>
                <w:sz w:val="20"/>
                <w:szCs w:val="20"/>
              </w:rPr>
            </w:pPr>
          </w:p>
        </w:tc>
      </w:tr>
    </w:tbl>
    <w:p w14:paraId="66516DA3" w14:textId="77777777" w:rsidR="00B37DED" w:rsidRDefault="00B37DED" w:rsidP="00B37DED">
      <w:pPr>
        <w:jc w:val="center"/>
        <w:rPr>
          <w:rFonts w:eastAsia="Times New Roman"/>
          <w:vanish/>
        </w:rPr>
      </w:pPr>
    </w:p>
    <w:sectPr w:rsidR="00B37D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BD795" w14:textId="77777777" w:rsidR="00B57C3D" w:rsidRDefault="00B57C3D" w:rsidP="00B57C3D">
      <w:r>
        <w:separator/>
      </w:r>
    </w:p>
  </w:endnote>
  <w:endnote w:type="continuationSeparator" w:id="0">
    <w:p w14:paraId="1E971DD4" w14:textId="77777777" w:rsidR="00B57C3D" w:rsidRDefault="00B57C3D" w:rsidP="00B5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1B256" w14:textId="77777777" w:rsidR="00B57C3D" w:rsidRDefault="00B57C3D" w:rsidP="00B57C3D">
      <w:r>
        <w:separator/>
      </w:r>
    </w:p>
  </w:footnote>
  <w:footnote w:type="continuationSeparator" w:id="0">
    <w:p w14:paraId="40A98414" w14:textId="77777777" w:rsidR="00B57C3D" w:rsidRDefault="00B57C3D" w:rsidP="00B57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064C"/>
    <w:multiLevelType w:val="hybridMultilevel"/>
    <w:tmpl w:val="661CC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D55283"/>
    <w:multiLevelType w:val="multilevel"/>
    <w:tmpl w:val="6D34D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52112355">
    <w:abstractNumId w:val="1"/>
  </w:num>
  <w:num w:numId="2" w16cid:durableId="1897351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ED"/>
    <w:rsid w:val="003869B6"/>
    <w:rsid w:val="003D32F7"/>
    <w:rsid w:val="00415712"/>
    <w:rsid w:val="006D0CA3"/>
    <w:rsid w:val="007B459F"/>
    <w:rsid w:val="008F6C9F"/>
    <w:rsid w:val="00B05BC8"/>
    <w:rsid w:val="00B37DED"/>
    <w:rsid w:val="00B57C3D"/>
    <w:rsid w:val="00BB2F02"/>
    <w:rsid w:val="00C80B5E"/>
    <w:rsid w:val="00C87A47"/>
    <w:rsid w:val="00CA7722"/>
    <w:rsid w:val="00E73B9C"/>
    <w:rsid w:val="00F43CB0"/>
    <w:rsid w:val="00F7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4E988"/>
  <w15:chartTrackingRefBased/>
  <w15:docId w15:val="{344A9558-7307-40FC-AA7F-A47049F8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DED"/>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B37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D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D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D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D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D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D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D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D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D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D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D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D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D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D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D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DED"/>
    <w:rPr>
      <w:rFonts w:eastAsiaTheme="majorEastAsia" w:cstheme="majorBidi"/>
      <w:color w:val="272727" w:themeColor="text1" w:themeTint="D8"/>
    </w:rPr>
  </w:style>
  <w:style w:type="paragraph" w:styleId="Title">
    <w:name w:val="Title"/>
    <w:basedOn w:val="Normal"/>
    <w:next w:val="Normal"/>
    <w:link w:val="TitleChar"/>
    <w:uiPriority w:val="10"/>
    <w:qFormat/>
    <w:rsid w:val="00B37D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D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D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DED"/>
    <w:pPr>
      <w:spacing w:before="160"/>
      <w:jc w:val="center"/>
    </w:pPr>
    <w:rPr>
      <w:i/>
      <w:iCs/>
      <w:color w:val="404040" w:themeColor="text1" w:themeTint="BF"/>
    </w:rPr>
  </w:style>
  <w:style w:type="character" w:customStyle="1" w:styleId="QuoteChar">
    <w:name w:val="Quote Char"/>
    <w:basedOn w:val="DefaultParagraphFont"/>
    <w:link w:val="Quote"/>
    <w:uiPriority w:val="29"/>
    <w:rsid w:val="00B37DED"/>
    <w:rPr>
      <w:i/>
      <w:iCs/>
      <w:color w:val="404040" w:themeColor="text1" w:themeTint="BF"/>
    </w:rPr>
  </w:style>
  <w:style w:type="paragraph" w:styleId="ListParagraph">
    <w:name w:val="List Paragraph"/>
    <w:basedOn w:val="Normal"/>
    <w:uiPriority w:val="34"/>
    <w:qFormat/>
    <w:rsid w:val="00B37DED"/>
    <w:pPr>
      <w:ind w:left="720"/>
      <w:contextualSpacing/>
    </w:pPr>
  </w:style>
  <w:style w:type="character" w:styleId="IntenseEmphasis">
    <w:name w:val="Intense Emphasis"/>
    <w:basedOn w:val="DefaultParagraphFont"/>
    <w:uiPriority w:val="21"/>
    <w:qFormat/>
    <w:rsid w:val="00B37DED"/>
    <w:rPr>
      <w:i/>
      <w:iCs/>
      <w:color w:val="0F4761" w:themeColor="accent1" w:themeShade="BF"/>
    </w:rPr>
  </w:style>
  <w:style w:type="paragraph" w:styleId="IntenseQuote">
    <w:name w:val="Intense Quote"/>
    <w:basedOn w:val="Normal"/>
    <w:next w:val="Normal"/>
    <w:link w:val="IntenseQuoteChar"/>
    <w:uiPriority w:val="30"/>
    <w:qFormat/>
    <w:rsid w:val="00B37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DED"/>
    <w:rPr>
      <w:i/>
      <w:iCs/>
      <w:color w:val="0F4761" w:themeColor="accent1" w:themeShade="BF"/>
    </w:rPr>
  </w:style>
  <w:style w:type="character" w:styleId="IntenseReference">
    <w:name w:val="Intense Reference"/>
    <w:basedOn w:val="DefaultParagraphFont"/>
    <w:uiPriority w:val="32"/>
    <w:qFormat/>
    <w:rsid w:val="00B37DED"/>
    <w:rPr>
      <w:b/>
      <w:bCs/>
      <w:smallCaps/>
      <w:color w:val="0F4761" w:themeColor="accent1" w:themeShade="BF"/>
      <w:spacing w:val="5"/>
    </w:rPr>
  </w:style>
  <w:style w:type="paragraph" w:styleId="NormalWeb">
    <w:name w:val="Normal (Web)"/>
    <w:basedOn w:val="Normal"/>
    <w:uiPriority w:val="99"/>
    <w:semiHidden/>
    <w:unhideWhenUsed/>
    <w:rsid w:val="00B37DED"/>
    <w:pPr>
      <w:spacing w:before="100" w:beforeAutospacing="1" w:after="100" w:afterAutospacing="1"/>
    </w:pPr>
    <w:rPr>
      <w:rFonts w:ascii="Arial" w:hAnsi="Arial" w:cs="Arial"/>
    </w:rPr>
  </w:style>
  <w:style w:type="paragraph" w:styleId="Header">
    <w:name w:val="header"/>
    <w:basedOn w:val="Normal"/>
    <w:link w:val="HeaderChar"/>
    <w:uiPriority w:val="99"/>
    <w:unhideWhenUsed/>
    <w:rsid w:val="00B57C3D"/>
    <w:pPr>
      <w:tabs>
        <w:tab w:val="center" w:pos="4680"/>
        <w:tab w:val="right" w:pos="9360"/>
      </w:tabs>
    </w:pPr>
  </w:style>
  <w:style w:type="character" w:customStyle="1" w:styleId="HeaderChar">
    <w:name w:val="Header Char"/>
    <w:basedOn w:val="DefaultParagraphFont"/>
    <w:link w:val="Header"/>
    <w:uiPriority w:val="99"/>
    <w:rsid w:val="00B57C3D"/>
    <w:rPr>
      <w:rFonts w:ascii="Aptos" w:hAnsi="Aptos" w:cs="Aptos"/>
      <w:kern w:val="0"/>
      <w14:ligatures w14:val="none"/>
    </w:rPr>
  </w:style>
  <w:style w:type="paragraph" w:styleId="Footer">
    <w:name w:val="footer"/>
    <w:basedOn w:val="Normal"/>
    <w:link w:val="FooterChar"/>
    <w:uiPriority w:val="99"/>
    <w:unhideWhenUsed/>
    <w:rsid w:val="00B57C3D"/>
    <w:pPr>
      <w:tabs>
        <w:tab w:val="center" w:pos="4680"/>
        <w:tab w:val="right" w:pos="9360"/>
      </w:tabs>
    </w:pPr>
  </w:style>
  <w:style w:type="character" w:customStyle="1" w:styleId="FooterChar">
    <w:name w:val="Footer Char"/>
    <w:basedOn w:val="DefaultParagraphFont"/>
    <w:link w:val="Footer"/>
    <w:uiPriority w:val="99"/>
    <w:rsid w:val="00B57C3D"/>
    <w:rPr>
      <w:rFonts w:ascii="Aptos" w:hAnsi="Aptos" w:cs="Aptos"/>
      <w:kern w:val="0"/>
      <w14:ligatures w14:val="none"/>
    </w:rPr>
  </w:style>
  <w:style w:type="character" w:styleId="Hyperlink">
    <w:name w:val="Hyperlink"/>
    <w:basedOn w:val="DefaultParagraphFont"/>
    <w:uiPriority w:val="99"/>
    <w:unhideWhenUsed/>
    <w:rsid w:val="006D0CA3"/>
    <w:rPr>
      <w:color w:val="467886" w:themeColor="hyperlink"/>
      <w:u w:val="single"/>
    </w:rPr>
  </w:style>
  <w:style w:type="character" w:styleId="UnresolvedMention">
    <w:name w:val="Unresolved Mention"/>
    <w:basedOn w:val="DefaultParagraphFont"/>
    <w:uiPriority w:val="99"/>
    <w:semiHidden/>
    <w:unhideWhenUsed/>
    <w:rsid w:val="006D0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78840">
      <w:bodyDiv w:val="1"/>
      <w:marLeft w:val="0"/>
      <w:marRight w:val="0"/>
      <w:marTop w:val="0"/>
      <w:marBottom w:val="0"/>
      <w:divBdr>
        <w:top w:val="none" w:sz="0" w:space="0" w:color="auto"/>
        <w:left w:val="none" w:sz="0" w:space="0" w:color="auto"/>
        <w:bottom w:val="none" w:sz="0" w:space="0" w:color="auto"/>
        <w:right w:val="none" w:sz="0" w:space="0" w:color="auto"/>
      </w:divBdr>
    </w:div>
    <w:div w:id="127135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cohen@tworiverstit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225</TotalTime>
  <Pages>3</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Cohen</dc:creator>
  <cp:keywords/>
  <dc:description/>
  <cp:lastModifiedBy>Matthew Cohen</cp:lastModifiedBy>
  <cp:revision>3</cp:revision>
  <cp:lastPrinted>2025-07-02T13:27:00Z</cp:lastPrinted>
  <dcterms:created xsi:type="dcterms:W3CDTF">2025-07-01T17:22:00Z</dcterms:created>
  <dcterms:modified xsi:type="dcterms:W3CDTF">2025-07-02T14:04:00Z</dcterms:modified>
</cp:coreProperties>
</file>